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182C2" w14:textId="2ADAE425" w:rsidR="00443000" w:rsidRPr="00EF7ABD" w:rsidRDefault="006401E5" w:rsidP="0044738B">
      <w:pPr>
        <w:jc w:val="center"/>
        <w:rPr>
          <w:b/>
          <w:bCs/>
        </w:rPr>
      </w:pPr>
      <w:r w:rsidRPr="00EF7ABD">
        <w:rPr>
          <w:b/>
          <w:bCs/>
        </w:rPr>
        <w:t>D</w:t>
      </w:r>
      <w:r w:rsidR="0044738B" w:rsidRPr="00EF7ABD">
        <w:rPr>
          <w:b/>
          <w:bCs/>
        </w:rPr>
        <w:t xml:space="preserve">ata and information faculty need to provide to the Curriculum Committee if they are petitioning for a course to be a part of the CR General Education pattern and not </w:t>
      </w:r>
      <w:proofErr w:type="spellStart"/>
      <w:r w:rsidR="0044738B" w:rsidRPr="00EF7ABD">
        <w:rPr>
          <w:b/>
          <w:bCs/>
        </w:rPr>
        <w:t>CalGETC</w:t>
      </w:r>
      <w:proofErr w:type="spellEnd"/>
    </w:p>
    <w:p w14:paraId="68478A01" w14:textId="77777777" w:rsidR="00483113" w:rsidRPr="00EF7ABD" w:rsidRDefault="00483113" w:rsidP="0044738B">
      <w:pPr>
        <w:jc w:val="center"/>
      </w:pPr>
    </w:p>
    <w:p w14:paraId="62F8818A" w14:textId="4C59C16D" w:rsidR="00EF7ABD" w:rsidRPr="00EF7ABD" w:rsidRDefault="00EF7ABD" w:rsidP="00483113">
      <w:pPr>
        <w:rPr>
          <w:b/>
          <w:bCs/>
        </w:rPr>
      </w:pPr>
      <w:r>
        <w:rPr>
          <w:b/>
          <w:bCs/>
        </w:rPr>
        <w:t>General Background Information:</w:t>
      </w:r>
    </w:p>
    <w:p w14:paraId="5EA17526" w14:textId="77777777" w:rsidR="00EF7ABD" w:rsidRDefault="00EF7ABD" w:rsidP="00483113"/>
    <w:p w14:paraId="086CE1EE" w14:textId="728E7813" w:rsidR="00483113" w:rsidRPr="00EF7ABD" w:rsidRDefault="00DC0872" w:rsidP="00483113">
      <w:r w:rsidRPr="00EF7ABD">
        <w:t>In April 2024, t</w:t>
      </w:r>
      <w:r w:rsidR="00483113" w:rsidRPr="00EF7ABD">
        <w:t>he College of the Redwoods Academic Senate</w:t>
      </w:r>
      <w:r w:rsidRPr="00EF7ABD">
        <w:t xml:space="preserve"> </w:t>
      </w:r>
      <w:r w:rsidR="00483113" w:rsidRPr="00EF7ABD">
        <w:t>passed a “GE Directive” that allow</w:t>
      </w:r>
      <w:r w:rsidRPr="00EF7ABD">
        <w:t>s</w:t>
      </w:r>
      <w:r w:rsidR="00483113" w:rsidRPr="00EF7ABD">
        <w:t xml:space="preserve"> for courses to be in the CR </w:t>
      </w:r>
      <w:r w:rsidRPr="00EF7ABD">
        <w:t>General Education</w:t>
      </w:r>
      <w:r w:rsidR="00483113" w:rsidRPr="00EF7ABD">
        <w:t xml:space="preserve"> </w:t>
      </w:r>
      <w:r w:rsidRPr="00EF7ABD">
        <w:t xml:space="preserve">(CR GE) pattern </w:t>
      </w:r>
      <w:r w:rsidR="00483113" w:rsidRPr="00EF7ABD">
        <w:t xml:space="preserve">without being part of the </w:t>
      </w:r>
      <w:proofErr w:type="spellStart"/>
      <w:r w:rsidR="00483113" w:rsidRPr="00EF7ABD">
        <w:t>CalGETC</w:t>
      </w:r>
      <w:proofErr w:type="spellEnd"/>
      <w:r w:rsidR="00483113" w:rsidRPr="00EF7ABD">
        <w:t xml:space="preserve"> </w:t>
      </w:r>
      <w:r w:rsidRPr="00EF7ABD">
        <w:t>p</w:t>
      </w:r>
      <w:r w:rsidR="00483113" w:rsidRPr="00EF7ABD">
        <w:t xml:space="preserve">attern as long as </w:t>
      </w:r>
      <w:r w:rsidRPr="00EF7ABD">
        <w:t xml:space="preserve">one or more of </w:t>
      </w:r>
      <w:r w:rsidR="00483113" w:rsidRPr="00EF7ABD">
        <w:t xml:space="preserve">the following </w:t>
      </w:r>
      <w:r w:rsidRPr="00EF7ABD">
        <w:t xml:space="preserve">two </w:t>
      </w:r>
      <w:r w:rsidR="00483113" w:rsidRPr="00EF7ABD">
        <w:t xml:space="preserve">conditions were </w:t>
      </w:r>
      <w:r w:rsidRPr="00EF7ABD">
        <w:t>met</w:t>
      </w:r>
      <w:r w:rsidR="00483113" w:rsidRPr="00EF7ABD">
        <w:t>:</w:t>
      </w:r>
    </w:p>
    <w:p w14:paraId="3548B80F" w14:textId="77777777" w:rsidR="00483113" w:rsidRPr="00EF7ABD" w:rsidRDefault="00483113" w:rsidP="00483113"/>
    <w:p w14:paraId="5C79EDFF" w14:textId="77777777" w:rsidR="00483113" w:rsidRPr="00EF7ABD" w:rsidRDefault="00483113" w:rsidP="00483113">
      <w:pPr>
        <w:numPr>
          <w:ilvl w:val="0"/>
          <w:numId w:val="2"/>
        </w:numPr>
        <w:rPr>
          <w:lang w:val="en"/>
        </w:rPr>
      </w:pPr>
      <w:r w:rsidRPr="00EF7ABD">
        <w:rPr>
          <w:lang w:val="en"/>
        </w:rPr>
        <w:t xml:space="preserve">not including the course in the CR GE pattern would have a deleterious effect on students pursuing specific </w:t>
      </w:r>
      <w:proofErr w:type="gramStart"/>
      <w:r w:rsidRPr="00EF7ABD">
        <w:rPr>
          <w:lang w:val="en"/>
        </w:rPr>
        <w:t>degrees;</w:t>
      </w:r>
      <w:proofErr w:type="gramEnd"/>
      <w:r w:rsidRPr="00EF7ABD">
        <w:rPr>
          <w:lang w:val="en"/>
        </w:rPr>
        <w:t xml:space="preserve"> </w:t>
      </w:r>
    </w:p>
    <w:p w14:paraId="4CAC4307" w14:textId="77777777" w:rsidR="00483113" w:rsidRPr="00EF7ABD" w:rsidRDefault="00483113" w:rsidP="00483113">
      <w:pPr>
        <w:numPr>
          <w:ilvl w:val="0"/>
          <w:numId w:val="2"/>
        </w:numPr>
        <w:rPr>
          <w:lang w:val="en"/>
        </w:rPr>
      </w:pPr>
      <w:r w:rsidRPr="00EF7ABD">
        <w:rPr>
          <w:lang w:val="en"/>
        </w:rPr>
        <w:t xml:space="preserve">and/or the course is important to include in the CR GE pattern for our local community partners or certain transfer pathways. </w:t>
      </w:r>
    </w:p>
    <w:p w14:paraId="325868EA" w14:textId="15F59D61" w:rsidR="00483113" w:rsidRPr="00EF7ABD" w:rsidRDefault="00483113" w:rsidP="00483113"/>
    <w:p w14:paraId="35E9E151" w14:textId="2B8E79EA" w:rsidR="00483113" w:rsidRPr="00EF7ABD" w:rsidRDefault="00483113" w:rsidP="00483113">
      <w:r w:rsidRPr="00EF7ABD">
        <w:t xml:space="preserve">To determine if a course meets one, or both, of these conditions, the </w:t>
      </w:r>
      <w:r w:rsidR="006401E5" w:rsidRPr="00EF7ABD">
        <w:t xml:space="preserve">Academic Senate’s </w:t>
      </w:r>
      <w:r w:rsidRPr="00EF7ABD">
        <w:t>“GE Directive” authorizes the Curriculum Committee to develop criteria it will use to evaluate requests</w:t>
      </w:r>
      <w:r w:rsidR="00DC0872" w:rsidRPr="00EF7ABD">
        <w:t xml:space="preserve"> for courses to be in CR GE only</w:t>
      </w:r>
      <w:r w:rsidRPr="00EF7ABD">
        <w:t xml:space="preserve">. </w:t>
      </w:r>
    </w:p>
    <w:p w14:paraId="0603B34D" w14:textId="77777777" w:rsidR="00483113" w:rsidRPr="00EF7ABD" w:rsidRDefault="00483113" w:rsidP="00483113"/>
    <w:p w14:paraId="0B343688" w14:textId="62B9E91F" w:rsidR="00483113" w:rsidRPr="00EF7ABD" w:rsidRDefault="00483113" w:rsidP="00483113">
      <w:r w:rsidRPr="00EF7ABD">
        <w:t>The following is a list of the criteria</w:t>
      </w:r>
      <w:r w:rsidR="00DC0872" w:rsidRPr="00EF7ABD">
        <w:t>,</w:t>
      </w:r>
      <w:r w:rsidRPr="00EF7ABD">
        <w:t xml:space="preserve"> along with the specific evidence and data faculty requestors are required to provide</w:t>
      </w:r>
      <w:r w:rsidR="00DC0872" w:rsidRPr="00EF7ABD">
        <w:t>,</w:t>
      </w:r>
      <w:r w:rsidRPr="00EF7ABD">
        <w:t xml:space="preserve"> so that the Curriculum Committee can make its decision</w:t>
      </w:r>
      <w:r w:rsidR="00DC0872" w:rsidRPr="00EF7ABD">
        <w:t xml:space="preserve"> as to whether a course meets the Senate’s parameters for a course to be in CR GE only</w:t>
      </w:r>
      <w:r w:rsidRPr="00EF7ABD">
        <w:t>.</w:t>
      </w:r>
    </w:p>
    <w:p w14:paraId="39956FC4" w14:textId="77777777" w:rsidR="0069627D" w:rsidRPr="00EF7ABD" w:rsidRDefault="0069627D" w:rsidP="00483113"/>
    <w:p w14:paraId="3D1CCEAF" w14:textId="091EF755" w:rsidR="00EF7ABD" w:rsidRPr="00EF7ABD" w:rsidRDefault="00EF7ABD" w:rsidP="00483113">
      <w:pPr>
        <w:rPr>
          <w:b/>
          <w:bCs/>
        </w:rPr>
      </w:pPr>
      <w:r w:rsidRPr="00EF7ABD">
        <w:rPr>
          <w:b/>
          <w:bCs/>
        </w:rPr>
        <w:t>Petitioning Instructions:</w:t>
      </w:r>
    </w:p>
    <w:p w14:paraId="384FC81C" w14:textId="77777777" w:rsidR="00EF7ABD" w:rsidRPr="00EF7ABD" w:rsidRDefault="00EF7ABD" w:rsidP="00483113"/>
    <w:p w14:paraId="3F6411F2" w14:textId="1531F34F" w:rsidR="006401E5" w:rsidRPr="00EF7ABD" w:rsidRDefault="006401E5" w:rsidP="00483113">
      <w:r w:rsidRPr="00EF7ABD">
        <w:t xml:space="preserve">Faculty members seeking approval for their course(s) to be part of the CR GE pattern and not the </w:t>
      </w:r>
      <w:proofErr w:type="spellStart"/>
      <w:r w:rsidRPr="00EF7ABD">
        <w:t>CalGETC</w:t>
      </w:r>
      <w:proofErr w:type="spellEnd"/>
      <w:r w:rsidRPr="00EF7ABD">
        <w:t xml:space="preserve"> pattern need to provide the Curriculum Committee with the following information:</w:t>
      </w:r>
    </w:p>
    <w:p w14:paraId="32F972C0" w14:textId="77777777" w:rsidR="006401E5" w:rsidRPr="00EF7ABD" w:rsidRDefault="006401E5" w:rsidP="00483113"/>
    <w:p w14:paraId="60F27948" w14:textId="0F5ABA86" w:rsidR="006401E5" w:rsidRPr="00EF7ABD" w:rsidRDefault="006401E5" w:rsidP="006401E5">
      <w:pPr>
        <w:pStyle w:val="ListParagraph"/>
        <w:numPr>
          <w:ilvl w:val="0"/>
          <w:numId w:val="5"/>
        </w:numPr>
      </w:pPr>
      <w:r w:rsidRPr="00EF7ABD">
        <w:t>Responses to “Department Self-Assessment #1” AND “Department Self-Assessment #2”</w:t>
      </w:r>
    </w:p>
    <w:p w14:paraId="6552E57D" w14:textId="77777777" w:rsidR="006401E5" w:rsidRPr="00EF7ABD" w:rsidRDefault="006401E5" w:rsidP="006401E5"/>
    <w:p w14:paraId="40F5C6E4" w14:textId="181C920E" w:rsidR="006401E5" w:rsidRPr="00EF7ABD" w:rsidRDefault="006401E5" w:rsidP="006401E5">
      <w:pPr>
        <w:ind w:firstLine="360"/>
      </w:pPr>
      <w:r w:rsidRPr="00EF7ABD">
        <w:t>AND</w:t>
      </w:r>
    </w:p>
    <w:p w14:paraId="221C3143" w14:textId="77777777" w:rsidR="006401E5" w:rsidRPr="00EF7ABD" w:rsidRDefault="006401E5" w:rsidP="006401E5"/>
    <w:p w14:paraId="22BB07E5" w14:textId="38C1AD91" w:rsidR="006401E5" w:rsidRPr="00EF7ABD" w:rsidRDefault="006401E5" w:rsidP="006401E5">
      <w:pPr>
        <w:pStyle w:val="ListParagraph"/>
        <w:numPr>
          <w:ilvl w:val="0"/>
          <w:numId w:val="5"/>
        </w:numPr>
      </w:pPr>
      <w:r w:rsidRPr="00EF7ABD">
        <w:t>Responses to “Criteria 1” AND/OR “Criteria 2”, depending upon what is applicable to the faculty member’s course</w:t>
      </w:r>
    </w:p>
    <w:p w14:paraId="57ECC225" w14:textId="77777777" w:rsidR="006401E5" w:rsidRPr="00EF7ABD" w:rsidRDefault="006401E5" w:rsidP="006401E5"/>
    <w:p w14:paraId="1D19EC85" w14:textId="77777777" w:rsidR="006401E5" w:rsidRPr="00EF7ABD" w:rsidRDefault="006401E5" w:rsidP="00483113"/>
    <w:p w14:paraId="70F452B4" w14:textId="77777777" w:rsidR="0044738B" w:rsidRPr="00EF7ABD" w:rsidRDefault="0044738B" w:rsidP="006401E5">
      <w:pPr>
        <w:jc w:val="both"/>
      </w:pPr>
    </w:p>
    <w:p w14:paraId="09388D02" w14:textId="77777777" w:rsidR="00EF7ABD" w:rsidRPr="00EF7ABD" w:rsidRDefault="00EF7ABD">
      <w:pPr>
        <w:rPr>
          <w:b/>
          <w:bCs/>
        </w:rPr>
      </w:pPr>
      <w:r w:rsidRPr="00EF7ABD">
        <w:rPr>
          <w:b/>
          <w:bCs/>
        </w:rPr>
        <w:br w:type="page"/>
      </w:r>
    </w:p>
    <w:p w14:paraId="0F9D76ED" w14:textId="418EEAC4" w:rsidR="00EF7ABD" w:rsidRPr="00EF7ABD" w:rsidRDefault="00EF7ABD" w:rsidP="00EF7ABD">
      <w:pPr>
        <w:jc w:val="both"/>
        <w:rPr>
          <w:b/>
          <w:bCs/>
        </w:rPr>
      </w:pPr>
      <w:r w:rsidRPr="00EF7ABD">
        <w:rPr>
          <w:b/>
          <w:bCs/>
        </w:rPr>
        <w:lastRenderedPageBreak/>
        <w:t xml:space="preserve">STEP 1: Please complete each of the following “Department Self-Assessments” and place the information in the COR document for “Department Self-Assessment #1” and use the “Attach Files” button in </w:t>
      </w:r>
      <w:proofErr w:type="spellStart"/>
      <w:r w:rsidRPr="00EF7ABD">
        <w:rPr>
          <w:b/>
          <w:bCs/>
        </w:rPr>
        <w:t>eLumen</w:t>
      </w:r>
      <w:proofErr w:type="spellEnd"/>
      <w:r w:rsidRPr="00EF7ABD">
        <w:rPr>
          <w:b/>
          <w:bCs/>
        </w:rPr>
        <w:t xml:space="preserve"> to provide the responses to “Department Self-Assessment #2”</w:t>
      </w:r>
    </w:p>
    <w:p w14:paraId="2FC18363" w14:textId="77777777" w:rsidR="00EF7ABD" w:rsidRPr="00EF7ABD" w:rsidRDefault="00EF7ABD" w:rsidP="006401E5">
      <w:pPr>
        <w:jc w:val="both"/>
        <w:rPr>
          <w:b/>
          <w:bCs/>
        </w:rPr>
      </w:pPr>
    </w:p>
    <w:p w14:paraId="12357A2C" w14:textId="26E8102E" w:rsidR="00483113" w:rsidRPr="00EF7ABD" w:rsidRDefault="0069627D" w:rsidP="006401E5">
      <w:pPr>
        <w:jc w:val="both"/>
        <w:rPr>
          <w:b/>
          <w:bCs/>
        </w:rPr>
      </w:pPr>
      <w:r w:rsidRPr="00EF7ABD">
        <w:rPr>
          <w:b/>
          <w:bCs/>
        </w:rPr>
        <w:t>Department Self-Assessment</w:t>
      </w:r>
      <w:r w:rsidR="00483113" w:rsidRPr="00EF7ABD">
        <w:rPr>
          <w:b/>
          <w:bCs/>
        </w:rPr>
        <w:t xml:space="preserve"> </w:t>
      </w:r>
      <w:r w:rsidRPr="00EF7ABD">
        <w:rPr>
          <w:b/>
          <w:bCs/>
        </w:rPr>
        <w:t>#</w:t>
      </w:r>
      <w:r w:rsidR="00483113" w:rsidRPr="00EF7ABD">
        <w:rPr>
          <w:b/>
          <w:bCs/>
        </w:rPr>
        <w:t>1: The course must meet the requirements of the CR GE Area as outlined in AP 4025.</w:t>
      </w:r>
    </w:p>
    <w:p w14:paraId="7DEB653E" w14:textId="410B8B7C" w:rsidR="007331AD" w:rsidRPr="00EF7ABD" w:rsidRDefault="00483113" w:rsidP="006401E5">
      <w:pPr>
        <w:pStyle w:val="ListParagraph"/>
        <w:numPr>
          <w:ilvl w:val="0"/>
          <w:numId w:val="1"/>
        </w:numPr>
        <w:jc w:val="both"/>
      </w:pPr>
      <w:r w:rsidRPr="00EF7ABD">
        <w:t>Faculty need to e</w:t>
      </w:r>
      <w:r w:rsidR="007331AD" w:rsidRPr="00EF7ABD">
        <w:t xml:space="preserve">xplain how the course </w:t>
      </w:r>
      <w:r w:rsidRPr="00EF7ABD">
        <w:t xml:space="preserve">elements </w:t>
      </w:r>
      <w:r w:rsidR="007331AD" w:rsidRPr="00EF7ABD">
        <w:t xml:space="preserve">meet the criteria for the local GE area </w:t>
      </w:r>
      <w:r w:rsidR="00CD44CD">
        <w:t>they</w:t>
      </w:r>
      <w:r w:rsidR="007331AD" w:rsidRPr="00EF7ABD">
        <w:t xml:space="preserve"> are requesting. </w:t>
      </w:r>
      <w:r w:rsidRPr="00EF7ABD">
        <w:t xml:space="preserve">Explain how items like the catalog description, course content, methods of instruction, assessment tasks, objectives, outcomes, </w:t>
      </w:r>
      <w:proofErr w:type="spellStart"/>
      <w:r w:rsidRPr="00EF7ABD">
        <w:t>etc</w:t>
      </w:r>
      <w:proofErr w:type="spellEnd"/>
      <w:r w:rsidRPr="00EF7ABD">
        <w:t>… meet the categorical definitions for that GE area and place the rationale</w:t>
      </w:r>
      <w:r w:rsidR="007331AD" w:rsidRPr="00EF7ABD">
        <w:t xml:space="preserve"> </w:t>
      </w:r>
      <w:r w:rsidR="00CD44CD">
        <w:t>below.</w:t>
      </w:r>
    </w:p>
    <w:p w14:paraId="6F158633" w14:textId="77777777" w:rsidR="00483113" w:rsidRPr="00EF7ABD" w:rsidRDefault="00483113" w:rsidP="006401E5">
      <w:pPr>
        <w:ind w:left="360"/>
        <w:jc w:val="both"/>
      </w:pPr>
    </w:p>
    <w:p w14:paraId="58712586" w14:textId="7D986C69" w:rsidR="0069627D" w:rsidRPr="00EF7ABD" w:rsidRDefault="00EF7ABD" w:rsidP="006401E5">
      <w:pPr>
        <w:jc w:val="both"/>
        <w:rPr>
          <w:b/>
          <w:bCs/>
        </w:rPr>
      </w:pPr>
      <w:r w:rsidRPr="00EF7ABD">
        <w:rPr>
          <w:b/>
          <w:bCs/>
        </w:rPr>
        <w:t>AND</w:t>
      </w:r>
    </w:p>
    <w:p w14:paraId="4EAAD3FD" w14:textId="77777777" w:rsidR="00EF7ABD" w:rsidRPr="00EF7ABD" w:rsidRDefault="00EF7ABD" w:rsidP="006401E5">
      <w:pPr>
        <w:jc w:val="both"/>
        <w:rPr>
          <w:b/>
          <w:bCs/>
        </w:rPr>
      </w:pPr>
    </w:p>
    <w:p w14:paraId="75FCF480" w14:textId="56F38CE6" w:rsidR="0069627D" w:rsidRPr="00EF7ABD" w:rsidRDefault="0069627D" w:rsidP="006401E5">
      <w:pPr>
        <w:jc w:val="both"/>
        <w:rPr>
          <w:b/>
          <w:bCs/>
        </w:rPr>
      </w:pPr>
      <w:r w:rsidRPr="00EF7ABD">
        <w:rPr>
          <w:b/>
          <w:bCs/>
        </w:rPr>
        <w:t xml:space="preserve">Department Self-Assessment #2: The course cannot be revised to meet the requirements of the corresponding </w:t>
      </w:r>
      <w:proofErr w:type="spellStart"/>
      <w:r w:rsidRPr="00EF7ABD">
        <w:rPr>
          <w:b/>
          <w:bCs/>
        </w:rPr>
        <w:t>CalGETC</w:t>
      </w:r>
      <w:proofErr w:type="spellEnd"/>
      <w:r w:rsidRPr="00EF7ABD">
        <w:rPr>
          <w:b/>
          <w:bCs/>
        </w:rPr>
        <w:t xml:space="preserve"> GE Area.</w:t>
      </w:r>
    </w:p>
    <w:p w14:paraId="043CD601" w14:textId="77777777" w:rsidR="0069627D" w:rsidRPr="00EF7ABD" w:rsidRDefault="0069627D" w:rsidP="006401E5">
      <w:pPr>
        <w:pStyle w:val="ListParagraph"/>
        <w:numPr>
          <w:ilvl w:val="0"/>
          <w:numId w:val="4"/>
        </w:numPr>
        <w:jc w:val="both"/>
      </w:pPr>
      <w:r w:rsidRPr="00EF7ABD">
        <w:t xml:space="preserve">Is there a chance that, with appropriate modifications to the course elements (i.e. catalog description, content, outcomes, objectives, assessments), the course will be likely to be approved for a </w:t>
      </w:r>
      <w:proofErr w:type="spellStart"/>
      <w:r w:rsidRPr="00EF7ABD">
        <w:t>CalGETC</w:t>
      </w:r>
      <w:proofErr w:type="spellEnd"/>
      <w:r w:rsidRPr="00EF7ABD">
        <w:t xml:space="preserve"> area?</w:t>
      </w:r>
    </w:p>
    <w:p w14:paraId="2CEA8F73" w14:textId="77777777" w:rsidR="0069627D" w:rsidRPr="00EF7ABD" w:rsidRDefault="0069627D" w:rsidP="006401E5">
      <w:pPr>
        <w:pStyle w:val="ListParagraph"/>
        <w:numPr>
          <w:ilvl w:val="0"/>
          <w:numId w:val="4"/>
        </w:numPr>
        <w:jc w:val="both"/>
      </w:pPr>
      <w:r w:rsidRPr="00EF7ABD">
        <w:t xml:space="preserve">Please provide any examples, if they exist, of a similar course from another California community college receiving </w:t>
      </w:r>
      <w:proofErr w:type="spellStart"/>
      <w:r w:rsidRPr="00EF7ABD">
        <w:t>CalGETC</w:t>
      </w:r>
      <w:proofErr w:type="spellEnd"/>
      <w:r w:rsidRPr="00EF7ABD">
        <w:t xml:space="preserve"> approval.</w:t>
      </w:r>
    </w:p>
    <w:p w14:paraId="3D8DF343" w14:textId="77777777" w:rsidR="0069627D" w:rsidRPr="00EF7ABD" w:rsidRDefault="0069627D" w:rsidP="006401E5">
      <w:pPr>
        <w:pStyle w:val="ListParagraph"/>
        <w:numPr>
          <w:ilvl w:val="0"/>
          <w:numId w:val="4"/>
        </w:numPr>
        <w:jc w:val="both"/>
      </w:pPr>
      <w:r w:rsidRPr="00EF7ABD">
        <w:t>Please provide any examples of this course being a GE course at other community colleges.</w:t>
      </w:r>
    </w:p>
    <w:p w14:paraId="60494585" w14:textId="77777777" w:rsidR="0069627D" w:rsidRPr="00EF7ABD" w:rsidRDefault="0069627D" w:rsidP="00483113">
      <w:pPr>
        <w:rPr>
          <w:b/>
          <w:bCs/>
        </w:rPr>
      </w:pPr>
    </w:p>
    <w:p w14:paraId="69711AC7" w14:textId="77777777" w:rsidR="00955AA5" w:rsidRPr="00EF7ABD" w:rsidRDefault="00955AA5" w:rsidP="00483113">
      <w:pPr>
        <w:rPr>
          <w:b/>
          <w:bCs/>
        </w:rPr>
      </w:pPr>
    </w:p>
    <w:p w14:paraId="0ECEF499" w14:textId="77777777" w:rsidR="00EF7ABD" w:rsidRPr="00EF7ABD" w:rsidRDefault="00EF7ABD">
      <w:pPr>
        <w:rPr>
          <w:b/>
          <w:bCs/>
        </w:rPr>
      </w:pPr>
      <w:r w:rsidRPr="00EF7ABD">
        <w:rPr>
          <w:b/>
          <w:bCs/>
        </w:rPr>
        <w:br w:type="page"/>
      </w:r>
    </w:p>
    <w:p w14:paraId="65184435" w14:textId="35100B47" w:rsidR="00EF7ABD" w:rsidRPr="00EF7ABD" w:rsidRDefault="00EF7ABD" w:rsidP="00EF7ABD">
      <w:pPr>
        <w:jc w:val="both"/>
        <w:rPr>
          <w:b/>
          <w:bCs/>
        </w:rPr>
      </w:pPr>
      <w:r w:rsidRPr="00EF7ABD">
        <w:rPr>
          <w:b/>
          <w:bCs/>
        </w:rPr>
        <w:lastRenderedPageBreak/>
        <w:t xml:space="preserve">STEP 2: Please complete either one or both of the following Criteria and place and use the “Attach Files” button in </w:t>
      </w:r>
      <w:proofErr w:type="spellStart"/>
      <w:r w:rsidRPr="00EF7ABD">
        <w:rPr>
          <w:b/>
          <w:bCs/>
        </w:rPr>
        <w:t>eLumen</w:t>
      </w:r>
      <w:proofErr w:type="spellEnd"/>
      <w:r w:rsidRPr="00EF7ABD">
        <w:rPr>
          <w:b/>
          <w:bCs/>
        </w:rPr>
        <w:t xml:space="preserve"> to provide the responses to upload the responses and information on the COR.</w:t>
      </w:r>
    </w:p>
    <w:p w14:paraId="6EFDA29B" w14:textId="77777777" w:rsidR="00EF7ABD" w:rsidRPr="00EF7ABD" w:rsidRDefault="00EF7ABD" w:rsidP="00EF7ABD">
      <w:pPr>
        <w:jc w:val="both"/>
        <w:rPr>
          <w:b/>
          <w:bCs/>
        </w:rPr>
      </w:pPr>
    </w:p>
    <w:p w14:paraId="51BA6CC8" w14:textId="3F392861" w:rsidR="00483113" w:rsidRPr="00EF7ABD" w:rsidRDefault="00483113" w:rsidP="00483113">
      <w:pPr>
        <w:rPr>
          <w:b/>
          <w:bCs/>
        </w:rPr>
      </w:pPr>
      <w:r w:rsidRPr="00EF7ABD">
        <w:rPr>
          <w:b/>
          <w:bCs/>
        </w:rPr>
        <w:t xml:space="preserve">Criteria </w:t>
      </w:r>
      <w:r w:rsidR="0069627D" w:rsidRPr="00EF7ABD">
        <w:rPr>
          <w:b/>
          <w:bCs/>
        </w:rPr>
        <w:t>1</w:t>
      </w:r>
      <w:r w:rsidRPr="00EF7ABD">
        <w:rPr>
          <w:b/>
          <w:bCs/>
        </w:rPr>
        <w:t xml:space="preserve">: Including the course </w:t>
      </w:r>
      <w:r w:rsidR="008C5BFA" w:rsidRPr="00EF7ABD">
        <w:rPr>
          <w:b/>
          <w:bCs/>
        </w:rPr>
        <w:t xml:space="preserve">only </w:t>
      </w:r>
      <w:r w:rsidRPr="00EF7ABD">
        <w:rPr>
          <w:b/>
          <w:bCs/>
        </w:rPr>
        <w:t xml:space="preserve">in CR GE </w:t>
      </w:r>
      <w:r w:rsidR="008C5BFA" w:rsidRPr="00EF7ABD">
        <w:rPr>
          <w:b/>
          <w:bCs/>
        </w:rPr>
        <w:t xml:space="preserve">and not in </w:t>
      </w:r>
      <w:proofErr w:type="spellStart"/>
      <w:r w:rsidR="008C5BFA" w:rsidRPr="00EF7ABD">
        <w:rPr>
          <w:b/>
          <w:bCs/>
        </w:rPr>
        <w:t>CalGETC</w:t>
      </w:r>
      <w:proofErr w:type="spellEnd"/>
      <w:r w:rsidR="008C5BFA" w:rsidRPr="00EF7ABD">
        <w:rPr>
          <w:b/>
          <w:bCs/>
        </w:rPr>
        <w:t xml:space="preserve"> </w:t>
      </w:r>
      <w:r w:rsidRPr="00EF7ABD">
        <w:rPr>
          <w:b/>
          <w:bCs/>
        </w:rPr>
        <w:t xml:space="preserve">will </w:t>
      </w:r>
      <w:r w:rsidR="0069627D" w:rsidRPr="00EF7ABD">
        <w:rPr>
          <w:b/>
          <w:bCs/>
        </w:rPr>
        <w:t xml:space="preserve">likely </w:t>
      </w:r>
      <w:r w:rsidRPr="00EF7ABD">
        <w:rPr>
          <w:b/>
          <w:bCs/>
        </w:rPr>
        <w:t xml:space="preserve">not </w:t>
      </w:r>
      <w:r w:rsidR="0069627D" w:rsidRPr="00EF7ABD">
        <w:rPr>
          <w:b/>
          <w:bCs/>
        </w:rPr>
        <w:t>create a major barrier</w:t>
      </w:r>
      <w:r w:rsidRPr="00EF7ABD">
        <w:rPr>
          <w:b/>
          <w:bCs/>
        </w:rPr>
        <w:t xml:space="preserve"> to students</w:t>
      </w:r>
      <w:r w:rsidR="0069627D" w:rsidRPr="00EF7ABD">
        <w:rPr>
          <w:b/>
          <w:bCs/>
        </w:rPr>
        <w:t xml:space="preserve"> using the local GE pattern who later decide to transfer</w:t>
      </w:r>
      <w:r w:rsidR="00955AA5" w:rsidRPr="00EF7ABD">
        <w:rPr>
          <w:b/>
          <w:bCs/>
        </w:rPr>
        <w:t xml:space="preserve">. </w:t>
      </w:r>
      <w:r w:rsidR="00EE4A22" w:rsidRPr="00EF7ABD">
        <w:rPr>
          <w:b/>
          <w:bCs/>
        </w:rPr>
        <w:t>Conversely</w:t>
      </w:r>
      <w:r w:rsidR="00955AA5" w:rsidRPr="00EF7ABD">
        <w:rPr>
          <w:b/>
          <w:bCs/>
        </w:rPr>
        <w:t xml:space="preserve">, not including the course in CR GE, even though it would not be in </w:t>
      </w:r>
      <w:proofErr w:type="spellStart"/>
      <w:r w:rsidR="00955AA5" w:rsidRPr="00EF7ABD">
        <w:rPr>
          <w:b/>
          <w:bCs/>
        </w:rPr>
        <w:t>CalGETC</w:t>
      </w:r>
      <w:proofErr w:type="spellEnd"/>
      <w:r w:rsidR="00955AA5" w:rsidRPr="00EF7ABD">
        <w:rPr>
          <w:b/>
          <w:bCs/>
        </w:rPr>
        <w:t>, would have a negative effect on certain students pursuing local associate degrees</w:t>
      </w:r>
      <w:r w:rsidRPr="00EF7ABD">
        <w:rPr>
          <w:b/>
          <w:bCs/>
        </w:rPr>
        <w:t>.</w:t>
      </w:r>
    </w:p>
    <w:p w14:paraId="22C754F4" w14:textId="5703631B" w:rsidR="0044738B" w:rsidRPr="00EF7ABD" w:rsidRDefault="008F1F13" w:rsidP="00EF7ABD">
      <w:pPr>
        <w:pStyle w:val="ListParagraph"/>
        <w:numPr>
          <w:ilvl w:val="0"/>
          <w:numId w:val="7"/>
        </w:numPr>
      </w:pPr>
      <w:r w:rsidRPr="00EF7ABD">
        <w:t>Please work with IR to determine how much of this data is available to provide to the committee.</w:t>
      </w:r>
      <w:r w:rsidR="00B51AF9" w:rsidRPr="00EF7ABD">
        <w:t xml:space="preserve"> These are examples of information that the committee could </w:t>
      </w:r>
      <w:proofErr w:type="gramStart"/>
      <w:r w:rsidR="00B51AF9" w:rsidRPr="00EF7ABD">
        <w:t>consider, and</w:t>
      </w:r>
      <w:proofErr w:type="gramEnd"/>
      <w:r w:rsidR="00B51AF9" w:rsidRPr="00EF7ABD">
        <w:t xml:space="preserve"> </w:t>
      </w:r>
      <w:r w:rsidR="004412C7" w:rsidRPr="00EF7ABD">
        <w:t>represent a</w:t>
      </w:r>
      <w:r w:rsidR="00B51AF9" w:rsidRPr="00EF7ABD">
        <w:t xml:space="preserve"> list of information the committee </w:t>
      </w:r>
      <w:r w:rsidR="004412C7" w:rsidRPr="00EF7ABD">
        <w:t>would</w:t>
      </w:r>
      <w:r w:rsidR="00B51AF9" w:rsidRPr="00EF7ABD">
        <w:t xml:space="preserve"> find useful to </w:t>
      </w:r>
      <w:proofErr w:type="gramStart"/>
      <w:r w:rsidR="00B51AF9" w:rsidRPr="00EF7ABD">
        <w:t>make a determination</w:t>
      </w:r>
      <w:proofErr w:type="gramEnd"/>
      <w:r w:rsidR="00B51AF9" w:rsidRPr="00EF7ABD">
        <w:t xml:space="preserve"> about courses that should be in CR Local GE only.</w:t>
      </w:r>
    </w:p>
    <w:p w14:paraId="669417C1" w14:textId="1AC3357F" w:rsidR="004412C7" w:rsidRPr="00EF7ABD" w:rsidRDefault="004412C7" w:rsidP="004412C7">
      <w:pPr>
        <w:pStyle w:val="ListParagraph"/>
        <w:numPr>
          <w:ilvl w:val="1"/>
          <w:numId w:val="1"/>
        </w:numPr>
      </w:pPr>
      <w:r w:rsidRPr="00EF7ABD">
        <w:t>Going back at least two years (ideally, five years), how many students have enrolled in this course?</w:t>
      </w:r>
    </w:p>
    <w:p w14:paraId="5A7F0032" w14:textId="7E573E5D" w:rsidR="0044738B" w:rsidRPr="00EF7ABD" w:rsidRDefault="0044738B" w:rsidP="0044738B">
      <w:pPr>
        <w:pStyle w:val="ListParagraph"/>
        <w:numPr>
          <w:ilvl w:val="1"/>
          <w:numId w:val="1"/>
        </w:numPr>
      </w:pPr>
      <w:r w:rsidRPr="00EF7ABD">
        <w:t>Of those students, how many eventually transferred to a university?</w:t>
      </w:r>
    </w:p>
    <w:p w14:paraId="11EDF22C" w14:textId="31E11C39" w:rsidR="008F1F13" w:rsidRPr="00EF7ABD" w:rsidRDefault="008F1F13" w:rsidP="0044738B">
      <w:pPr>
        <w:pStyle w:val="ListParagraph"/>
        <w:numPr>
          <w:ilvl w:val="1"/>
          <w:numId w:val="1"/>
        </w:numPr>
      </w:pPr>
      <w:r w:rsidRPr="00EF7ABD">
        <w:t>What have been the success and retention rates for the course?</w:t>
      </w:r>
    </w:p>
    <w:p w14:paraId="631A76AA" w14:textId="58D355ED" w:rsidR="0044738B" w:rsidRPr="00EF7ABD" w:rsidRDefault="0044738B" w:rsidP="0044738B">
      <w:pPr>
        <w:pStyle w:val="ListParagraph"/>
        <w:numPr>
          <w:ilvl w:val="1"/>
          <w:numId w:val="1"/>
        </w:numPr>
      </w:pPr>
      <w:r w:rsidRPr="00EF7ABD">
        <w:t>Of those students, what was the breakdown of their “majors”/degree option</w:t>
      </w:r>
      <w:r w:rsidR="00162D91" w:rsidRPr="00EF7ABD">
        <w:t>s</w:t>
      </w:r>
      <w:r w:rsidRPr="00EF7ABD">
        <w:t>?</w:t>
      </w:r>
    </w:p>
    <w:p w14:paraId="5CB02008" w14:textId="6DCA8E20" w:rsidR="008C5BFA" w:rsidRPr="00EF7ABD" w:rsidRDefault="008C5BFA" w:rsidP="008C5BFA">
      <w:pPr>
        <w:pStyle w:val="ListParagraph"/>
        <w:numPr>
          <w:ilvl w:val="1"/>
          <w:numId w:val="1"/>
        </w:numPr>
      </w:pPr>
      <w:r w:rsidRPr="00EF7ABD">
        <w:t>Is this course the ONLY option</w:t>
      </w:r>
      <w:r w:rsidR="004412C7" w:rsidRPr="00EF7ABD">
        <w:t xml:space="preserve"> in any specific area</w:t>
      </w:r>
      <w:r w:rsidRPr="00EF7ABD">
        <w:t xml:space="preserve"> </w:t>
      </w:r>
      <w:r w:rsidR="004412C7" w:rsidRPr="00EF7ABD">
        <w:t>in</w:t>
      </w:r>
      <w:r w:rsidRPr="00EF7ABD">
        <w:t xml:space="preserve"> any degrees? In other words, is this a required course in any </w:t>
      </w:r>
      <w:r w:rsidR="004412C7" w:rsidRPr="00EF7ABD">
        <w:t xml:space="preserve">area in any </w:t>
      </w:r>
      <w:r w:rsidRPr="00EF7ABD">
        <w:t>degrees? If so, which ones?</w:t>
      </w:r>
    </w:p>
    <w:p w14:paraId="50EAD9BE" w14:textId="26CDE153" w:rsidR="008C5BFA" w:rsidRPr="00EF7ABD" w:rsidRDefault="004412C7" w:rsidP="0044738B">
      <w:pPr>
        <w:pStyle w:val="ListParagraph"/>
        <w:numPr>
          <w:ilvl w:val="1"/>
          <w:numId w:val="1"/>
        </w:numPr>
      </w:pPr>
      <w:r w:rsidRPr="00EF7ABD">
        <w:t xml:space="preserve">Do any associate degrees use this course to double-count toward major core requirements or restricted electives (lists of courses from which students can select to fulfill a degree requirement) </w:t>
      </w:r>
      <w:r w:rsidRPr="00EF7ABD">
        <w:rPr>
          <w:i/>
          <w:iCs/>
        </w:rPr>
        <w:t>and</w:t>
      </w:r>
      <w:r w:rsidRPr="00EF7ABD">
        <w:t xml:space="preserve"> the Local CR GE Area you are requesting</w:t>
      </w:r>
      <w:r w:rsidR="008C5BFA" w:rsidRPr="00EF7ABD">
        <w:t>? Please list them</w:t>
      </w:r>
      <w:r w:rsidRPr="00EF7ABD">
        <w:t xml:space="preserve"> (the degrees)</w:t>
      </w:r>
      <w:r w:rsidR="008C5BFA" w:rsidRPr="00EF7ABD">
        <w:t>.</w:t>
      </w:r>
      <w:r w:rsidR="00C94A50" w:rsidRPr="00EF7ABD">
        <w:t xml:space="preserve"> Double-counting means that a course “counts” for a major requirement AND counts as a GE Area requirement.</w:t>
      </w:r>
    </w:p>
    <w:p w14:paraId="74CD7288" w14:textId="10368783" w:rsidR="004412C7" w:rsidRPr="00EF7ABD" w:rsidRDefault="004412C7" w:rsidP="0044738B">
      <w:pPr>
        <w:pStyle w:val="ListParagraph"/>
        <w:numPr>
          <w:ilvl w:val="1"/>
          <w:numId w:val="1"/>
        </w:numPr>
      </w:pPr>
      <w:r w:rsidRPr="00EF7ABD">
        <w:t xml:space="preserve">Is this course intended to be part of </w:t>
      </w:r>
      <w:r w:rsidR="00A32712" w:rsidRPr="00EF7ABD">
        <w:t xml:space="preserve">(or is) </w:t>
      </w:r>
      <w:r w:rsidRPr="00EF7ABD">
        <w:t xml:space="preserve">a </w:t>
      </w:r>
      <w:r w:rsidR="00A32712" w:rsidRPr="00EF7ABD">
        <w:t xml:space="preserve">career education </w:t>
      </w:r>
      <w:r w:rsidRPr="00EF7ABD">
        <w:t>transfer</w:t>
      </w:r>
      <w:r w:rsidR="0037645A" w:rsidRPr="00EF7ABD">
        <w:t xml:space="preserve"> pathway</w:t>
      </w:r>
      <w:r w:rsidRPr="00EF7ABD">
        <w:t xml:space="preserve"> to any California University (including Cal Poly Humboldt)?</w:t>
      </w:r>
    </w:p>
    <w:p w14:paraId="3EB623A9" w14:textId="77777777" w:rsidR="00921FB6" w:rsidRPr="00EF7ABD" w:rsidRDefault="008F1F13" w:rsidP="00921FB6">
      <w:pPr>
        <w:pStyle w:val="ListParagraph"/>
        <w:numPr>
          <w:ilvl w:val="1"/>
          <w:numId w:val="1"/>
        </w:numPr>
      </w:pPr>
      <w:r w:rsidRPr="00EF7ABD">
        <w:t>Faculty can partner with IR to survey existing students enrolled in this course to garner answers to some of the questions above to determine why students have taken the course and how they are using it in their Education Plans? This could be a way to get to this information that the Curriculum Committee will consider.</w:t>
      </w:r>
    </w:p>
    <w:p w14:paraId="31CE01C9" w14:textId="63012A06" w:rsidR="00DC0872" w:rsidRPr="00EF7ABD" w:rsidRDefault="00DC0872" w:rsidP="00921FB6">
      <w:pPr>
        <w:pStyle w:val="ListParagraph"/>
        <w:numPr>
          <w:ilvl w:val="1"/>
          <w:numId w:val="1"/>
        </w:numPr>
      </w:pPr>
      <w:r w:rsidRPr="00EF7ABD">
        <w:t>If this course is not in the CR GE pattern, in what degrees will students need to take extra units to complete versus if this course is part of the CR GE pattern</w:t>
      </w:r>
      <w:r w:rsidR="008C5BFA" w:rsidRPr="00EF7ABD">
        <w:t xml:space="preserve"> and can be double counted</w:t>
      </w:r>
      <w:r w:rsidRPr="00EF7ABD">
        <w:t>?</w:t>
      </w:r>
    </w:p>
    <w:p w14:paraId="62B66839" w14:textId="44D616AB" w:rsidR="0068761B" w:rsidRPr="00EF7ABD" w:rsidRDefault="0068761B" w:rsidP="00921FB6">
      <w:pPr>
        <w:pStyle w:val="ListParagraph"/>
        <w:numPr>
          <w:ilvl w:val="1"/>
          <w:numId w:val="1"/>
        </w:numPr>
      </w:pPr>
      <w:r w:rsidRPr="00EF7ABD">
        <w:t>In addition to what is above, please include any other information that you believe would be helpful for the Curriculum Committee to make its determination.</w:t>
      </w:r>
    </w:p>
    <w:p w14:paraId="3DCAFB7E" w14:textId="77777777" w:rsidR="00BE1A82" w:rsidRPr="00EF7ABD" w:rsidRDefault="00BE1A82" w:rsidP="00BE1A82"/>
    <w:p w14:paraId="7AB1333D" w14:textId="132BEFF4" w:rsidR="00955AA5" w:rsidRPr="00EF7ABD" w:rsidRDefault="00955AA5" w:rsidP="00BE1A82">
      <w:pPr>
        <w:rPr>
          <w:b/>
          <w:bCs/>
        </w:rPr>
      </w:pPr>
      <w:r w:rsidRPr="00EF7ABD">
        <w:rPr>
          <w:b/>
          <w:bCs/>
        </w:rPr>
        <w:t>AND/OR</w:t>
      </w:r>
    </w:p>
    <w:p w14:paraId="704E8011" w14:textId="77777777" w:rsidR="00955AA5" w:rsidRPr="00EF7ABD" w:rsidRDefault="00955AA5" w:rsidP="00BE1A82">
      <w:pPr>
        <w:rPr>
          <w:b/>
          <w:bCs/>
        </w:rPr>
      </w:pPr>
    </w:p>
    <w:p w14:paraId="5570ABDF" w14:textId="2E753B43" w:rsidR="00BE1A82" w:rsidRPr="00EF7ABD" w:rsidRDefault="00BE1A82" w:rsidP="00BE1A82">
      <w:pPr>
        <w:rPr>
          <w:b/>
          <w:bCs/>
        </w:rPr>
      </w:pPr>
      <w:r w:rsidRPr="00EF7ABD">
        <w:rPr>
          <w:b/>
          <w:bCs/>
        </w:rPr>
        <w:lastRenderedPageBreak/>
        <w:t xml:space="preserve">Criteria </w:t>
      </w:r>
      <w:r w:rsidR="00921FB6" w:rsidRPr="00EF7ABD">
        <w:rPr>
          <w:b/>
          <w:bCs/>
        </w:rPr>
        <w:t>2</w:t>
      </w:r>
      <w:r w:rsidRPr="00EF7ABD">
        <w:rPr>
          <w:b/>
          <w:bCs/>
        </w:rPr>
        <w:t>: Not including the course in CR Local GE will potentially jeopardize an important community partnership</w:t>
      </w:r>
      <w:r w:rsidR="0049614C" w:rsidRPr="00EF7ABD">
        <w:rPr>
          <w:b/>
          <w:bCs/>
        </w:rPr>
        <w:t xml:space="preserve"> or transfer pathway</w:t>
      </w:r>
      <w:r w:rsidRPr="00EF7ABD">
        <w:rPr>
          <w:b/>
          <w:bCs/>
        </w:rPr>
        <w:t>.</w:t>
      </w:r>
    </w:p>
    <w:p w14:paraId="0BB55FD8" w14:textId="3B0D66F7" w:rsidR="0044738B" w:rsidRPr="00EF7ABD" w:rsidRDefault="0044738B" w:rsidP="00EF7ABD">
      <w:pPr>
        <w:pStyle w:val="ListParagraph"/>
        <w:numPr>
          <w:ilvl w:val="0"/>
          <w:numId w:val="8"/>
        </w:numPr>
      </w:pPr>
      <w:r w:rsidRPr="00EF7ABD">
        <w:t xml:space="preserve">Is there a community partnership </w:t>
      </w:r>
      <w:r w:rsidR="00921FB6" w:rsidRPr="00EF7ABD">
        <w:t xml:space="preserve">or transfer pathway </w:t>
      </w:r>
      <w:r w:rsidRPr="00EF7ABD">
        <w:t>that would be jeopardized if this course was not a part of the CR Local General Education pattern?</w:t>
      </w:r>
      <w:r w:rsidR="007331AD" w:rsidRPr="00EF7ABD">
        <w:t xml:space="preserve"> Please provide evidence that indicates this.</w:t>
      </w:r>
    </w:p>
    <w:p w14:paraId="2C64F0FA" w14:textId="4D4245F2" w:rsidR="00A94524" w:rsidRPr="00EF7ABD" w:rsidRDefault="00A94524" w:rsidP="0069627D">
      <w:pPr>
        <w:pStyle w:val="ListParagraph"/>
        <w:numPr>
          <w:ilvl w:val="1"/>
          <w:numId w:val="4"/>
        </w:numPr>
      </w:pPr>
      <w:r w:rsidRPr="00EF7ABD">
        <w:t xml:space="preserve">Sources of evidence necessary </w:t>
      </w:r>
      <w:r w:rsidR="00921FB6" w:rsidRPr="00EF7ABD">
        <w:t>could</w:t>
      </w:r>
      <w:r w:rsidRPr="00EF7ABD">
        <w:t xml:space="preserve"> include, but not be limited to, any or </w:t>
      </w:r>
      <w:proofErr w:type="gramStart"/>
      <w:r w:rsidRPr="00EF7ABD">
        <w:t>all of</w:t>
      </w:r>
      <w:proofErr w:type="gramEnd"/>
      <w:r w:rsidRPr="00EF7ABD">
        <w:t xml:space="preserve"> the following: outside advisory committee minutes</w:t>
      </w:r>
      <w:r w:rsidR="00921FB6" w:rsidRPr="00EF7ABD">
        <w:t xml:space="preserve">, </w:t>
      </w:r>
      <w:r w:rsidRPr="00EF7ABD">
        <w:t>letters from external community partners</w:t>
      </w:r>
      <w:r w:rsidR="00921FB6" w:rsidRPr="00EF7ABD">
        <w:t xml:space="preserve"> and/or requirements for external programmatic accrediting bodies.</w:t>
      </w:r>
    </w:p>
    <w:p w14:paraId="2F5C45B8" w14:textId="36A0249F" w:rsidR="00921FB6" w:rsidRPr="00EF7ABD" w:rsidRDefault="00921FB6" w:rsidP="0069627D">
      <w:pPr>
        <w:pStyle w:val="ListParagraph"/>
        <w:numPr>
          <w:ilvl w:val="1"/>
          <w:numId w:val="4"/>
        </w:numPr>
      </w:pPr>
      <w:r w:rsidRPr="00EF7ABD">
        <w:t xml:space="preserve">The course is already transfer-level and serves as a pre-requisite to a course listed in the </w:t>
      </w:r>
      <w:proofErr w:type="spellStart"/>
      <w:r w:rsidRPr="00EF7ABD">
        <w:t>CalGETC</w:t>
      </w:r>
      <w:proofErr w:type="spellEnd"/>
      <w:r w:rsidRPr="00EF7ABD">
        <w:t xml:space="preserve"> pattern.</w:t>
      </w:r>
    </w:p>
    <w:p w14:paraId="1EE73A34" w14:textId="77777777" w:rsidR="00BE1A82" w:rsidRPr="00EF7ABD" w:rsidRDefault="00BE1A82" w:rsidP="00BE1A82"/>
    <w:p w14:paraId="78C812F9" w14:textId="77777777" w:rsidR="00E2663C" w:rsidRPr="00EF7ABD" w:rsidRDefault="00E2663C" w:rsidP="00E2663C">
      <w:pPr>
        <w:pStyle w:val="ListParagraph"/>
      </w:pPr>
    </w:p>
    <w:sectPr w:rsidR="00E2663C" w:rsidRPr="00EF7ABD" w:rsidSect="00FD6245">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7009" w14:textId="77777777" w:rsidR="004D3487" w:rsidRDefault="004D3487" w:rsidP="00EF7ABD">
      <w:r>
        <w:separator/>
      </w:r>
    </w:p>
  </w:endnote>
  <w:endnote w:type="continuationSeparator" w:id="0">
    <w:p w14:paraId="043424EB" w14:textId="77777777" w:rsidR="004D3487" w:rsidRDefault="004D3487" w:rsidP="00EF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merican Typewriter">
    <w:panose1 w:val="02090604020004020304"/>
    <w:charset w:val="4D"/>
    <w:family w:val="roman"/>
    <w:pitch w:val="variable"/>
    <w:sig w:usb0="A000006F" w:usb1="00000019" w:usb2="00000000" w:usb3="00000000" w:csb0="0000011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7DEC" w14:textId="77777777" w:rsidR="004D3487" w:rsidRDefault="004D3487" w:rsidP="00EF7ABD">
      <w:r>
        <w:separator/>
      </w:r>
    </w:p>
  </w:footnote>
  <w:footnote w:type="continuationSeparator" w:id="0">
    <w:p w14:paraId="08D43E91" w14:textId="77777777" w:rsidR="004D3487" w:rsidRDefault="004D3487" w:rsidP="00EF7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060058"/>
      <w:docPartObj>
        <w:docPartGallery w:val="Page Numbers (Top of Page)"/>
        <w:docPartUnique/>
      </w:docPartObj>
    </w:sdtPr>
    <w:sdtContent>
      <w:p w14:paraId="7263D81D" w14:textId="31B07C6D" w:rsidR="00EF7ABD" w:rsidRDefault="00EF7ABD" w:rsidP="003A610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DEE0D3" w14:textId="77777777" w:rsidR="00EF7ABD" w:rsidRDefault="00EF7ABD" w:rsidP="00EF7A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0922041"/>
      <w:docPartObj>
        <w:docPartGallery w:val="Page Numbers (Top of Page)"/>
        <w:docPartUnique/>
      </w:docPartObj>
    </w:sdtPr>
    <w:sdtContent>
      <w:p w14:paraId="543CA7BD" w14:textId="124ACA81" w:rsidR="00EF7ABD" w:rsidRDefault="00EF7ABD" w:rsidP="003A610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4702A1" w14:textId="77777777" w:rsidR="00EF7ABD" w:rsidRDefault="00EF7ABD" w:rsidP="00EF7AB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5EA8"/>
    <w:multiLevelType w:val="hybridMultilevel"/>
    <w:tmpl w:val="BFD280CE"/>
    <w:lvl w:ilvl="0" w:tplc="E36A105A">
      <w:start w:val="1"/>
      <w:numFmt w:val="decimal"/>
      <w:lvlText w:val="%1."/>
      <w:lvlJc w:val="left"/>
      <w:pPr>
        <w:ind w:left="720" w:hanging="360"/>
      </w:pPr>
      <w:rPr>
        <w:rFonts w:ascii="American Typewriter" w:eastAsiaTheme="minorHAnsi" w:hAnsi="American Typewriter" w:cs="Times New Roman (Body 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D3F9C"/>
    <w:multiLevelType w:val="hybridMultilevel"/>
    <w:tmpl w:val="0B44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F5F9D"/>
    <w:multiLevelType w:val="hybridMultilevel"/>
    <w:tmpl w:val="551C7840"/>
    <w:lvl w:ilvl="0" w:tplc="FFFFFFFF">
      <w:start w:val="1"/>
      <w:numFmt w:val="decimal"/>
      <w:lvlText w:val="%1."/>
      <w:lvlJc w:val="left"/>
      <w:pPr>
        <w:ind w:left="720" w:hanging="360"/>
      </w:pPr>
      <w:rPr>
        <w:rFonts w:ascii="American Typewriter" w:eastAsiaTheme="minorHAnsi" w:hAnsi="American Typewriter" w:cs="Times New Roman (Body 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7C6A52"/>
    <w:multiLevelType w:val="hybridMultilevel"/>
    <w:tmpl w:val="B3A07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F1064"/>
    <w:multiLevelType w:val="hybridMultilevel"/>
    <w:tmpl w:val="8C86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42355"/>
    <w:multiLevelType w:val="hybridMultilevel"/>
    <w:tmpl w:val="DD745482"/>
    <w:lvl w:ilvl="0" w:tplc="FFFFFFFF">
      <w:start w:val="1"/>
      <w:numFmt w:val="decimal"/>
      <w:lvlText w:val="%1."/>
      <w:lvlJc w:val="left"/>
      <w:pPr>
        <w:ind w:left="720" w:hanging="360"/>
      </w:pPr>
      <w:rPr>
        <w:rFonts w:ascii="American Typewriter" w:eastAsiaTheme="minorHAnsi" w:hAnsi="American Typewriter" w:cs="Times New Roman (Body 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2F622D"/>
    <w:multiLevelType w:val="hybridMultilevel"/>
    <w:tmpl w:val="142E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80E5D"/>
    <w:multiLevelType w:val="hybridMultilevel"/>
    <w:tmpl w:val="7336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799980">
    <w:abstractNumId w:val="0"/>
  </w:num>
  <w:num w:numId="2" w16cid:durableId="463430354">
    <w:abstractNumId w:val="7"/>
  </w:num>
  <w:num w:numId="3" w16cid:durableId="1697609345">
    <w:abstractNumId w:val="1"/>
  </w:num>
  <w:num w:numId="4" w16cid:durableId="975528106">
    <w:abstractNumId w:val="5"/>
  </w:num>
  <w:num w:numId="5" w16cid:durableId="2018729541">
    <w:abstractNumId w:val="4"/>
  </w:num>
  <w:num w:numId="6" w16cid:durableId="2030521252">
    <w:abstractNumId w:val="6"/>
  </w:num>
  <w:num w:numId="7" w16cid:durableId="1459029477">
    <w:abstractNumId w:val="2"/>
  </w:num>
  <w:num w:numId="8" w16cid:durableId="534150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8B"/>
    <w:rsid w:val="00000C87"/>
    <w:rsid w:val="00025D61"/>
    <w:rsid w:val="00062EE5"/>
    <w:rsid w:val="00162D91"/>
    <w:rsid w:val="0037645A"/>
    <w:rsid w:val="004412C7"/>
    <w:rsid w:val="00443000"/>
    <w:rsid w:val="0044738B"/>
    <w:rsid w:val="00483113"/>
    <w:rsid w:val="004870C8"/>
    <w:rsid w:val="0049614C"/>
    <w:rsid w:val="004D3487"/>
    <w:rsid w:val="006401E5"/>
    <w:rsid w:val="006475B5"/>
    <w:rsid w:val="0068761B"/>
    <w:rsid w:val="0069627D"/>
    <w:rsid w:val="007331AD"/>
    <w:rsid w:val="008852F2"/>
    <w:rsid w:val="00897C91"/>
    <w:rsid w:val="008C5BFA"/>
    <w:rsid w:val="008F1F13"/>
    <w:rsid w:val="00921FB6"/>
    <w:rsid w:val="00933586"/>
    <w:rsid w:val="00955AA5"/>
    <w:rsid w:val="009569C9"/>
    <w:rsid w:val="00A32712"/>
    <w:rsid w:val="00A530D0"/>
    <w:rsid w:val="00A94524"/>
    <w:rsid w:val="00B4714E"/>
    <w:rsid w:val="00B51AF9"/>
    <w:rsid w:val="00B75A90"/>
    <w:rsid w:val="00B76526"/>
    <w:rsid w:val="00BE1A82"/>
    <w:rsid w:val="00C764CD"/>
    <w:rsid w:val="00C94A50"/>
    <w:rsid w:val="00CD44CD"/>
    <w:rsid w:val="00DC0872"/>
    <w:rsid w:val="00E2663C"/>
    <w:rsid w:val="00E53376"/>
    <w:rsid w:val="00EE4A22"/>
    <w:rsid w:val="00EF7ABD"/>
    <w:rsid w:val="00FD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5E86B9"/>
  <w15:chartTrackingRefBased/>
  <w15:docId w15:val="{8D5F36AB-7A4F-6B43-912A-B1C6406E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merican Typewriter" w:eastAsiaTheme="minorHAnsi" w:hAnsi="American Typewriter"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3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3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73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73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73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73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73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38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3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73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73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73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73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73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73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3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3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73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738B"/>
    <w:rPr>
      <w:i/>
      <w:iCs/>
      <w:color w:val="404040" w:themeColor="text1" w:themeTint="BF"/>
    </w:rPr>
  </w:style>
  <w:style w:type="paragraph" w:styleId="ListParagraph">
    <w:name w:val="List Paragraph"/>
    <w:basedOn w:val="Normal"/>
    <w:uiPriority w:val="34"/>
    <w:qFormat/>
    <w:rsid w:val="0044738B"/>
    <w:pPr>
      <w:ind w:left="720"/>
      <w:contextualSpacing/>
    </w:pPr>
  </w:style>
  <w:style w:type="character" w:styleId="IntenseEmphasis">
    <w:name w:val="Intense Emphasis"/>
    <w:basedOn w:val="DefaultParagraphFont"/>
    <w:uiPriority w:val="21"/>
    <w:qFormat/>
    <w:rsid w:val="0044738B"/>
    <w:rPr>
      <w:i/>
      <w:iCs/>
      <w:color w:val="0F4761" w:themeColor="accent1" w:themeShade="BF"/>
    </w:rPr>
  </w:style>
  <w:style w:type="paragraph" w:styleId="IntenseQuote">
    <w:name w:val="Intense Quote"/>
    <w:basedOn w:val="Normal"/>
    <w:next w:val="Normal"/>
    <w:link w:val="IntenseQuoteChar"/>
    <w:uiPriority w:val="30"/>
    <w:qFormat/>
    <w:rsid w:val="00447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38B"/>
    <w:rPr>
      <w:i/>
      <w:iCs/>
      <w:color w:val="0F4761" w:themeColor="accent1" w:themeShade="BF"/>
    </w:rPr>
  </w:style>
  <w:style w:type="character" w:styleId="IntenseReference">
    <w:name w:val="Intense Reference"/>
    <w:basedOn w:val="DefaultParagraphFont"/>
    <w:uiPriority w:val="32"/>
    <w:qFormat/>
    <w:rsid w:val="0044738B"/>
    <w:rPr>
      <w:b/>
      <w:bCs/>
      <w:smallCaps/>
      <w:color w:val="0F4761" w:themeColor="accent1" w:themeShade="BF"/>
      <w:spacing w:val="5"/>
    </w:rPr>
  </w:style>
  <w:style w:type="paragraph" w:styleId="Header">
    <w:name w:val="header"/>
    <w:basedOn w:val="Normal"/>
    <w:link w:val="HeaderChar"/>
    <w:uiPriority w:val="99"/>
    <w:unhideWhenUsed/>
    <w:rsid w:val="00EF7ABD"/>
    <w:pPr>
      <w:tabs>
        <w:tab w:val="center" w:pos="4680"/>
        <w:tab w:val="right" w:pos="9360"/>
      </w:tabs>
    </w:pPr>
  </w:style>
  <w:style w:type="character" w:customStyle="1" w:styleId="HeaderChar">
    <w:name w:val="Header Char"/>
    <w:basedOn w:val="DefaultParagraphFont"/>
    <w:link w:val="Header"/>
    <w:uiPriority w:val="99"/>
    <w:rsid w:val="00EF7ABD"/>
  </w:style>
  <w:style w:type="character" w:styleId="PageNumber">
    <w:name w:val="page number"/>
    <w:basedOn w:val="DefaultParagraphFont"/>
    <w:uiPriority w:val="99"/>
    <w:semiHidden/>
    <w:unhideWhenUsed/>
    <w:rsid w:val="00EF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Potamianos, George</dc:creator>
  <cp:keywords/>
  <dc:description/>
  <cp:lastModifiedBy>Potamianos, George</cp:lastModifiedBy>
  <cp:revision>2</cp:revision>
  <dcterms:created xsi:type="dcterms:W3CDTF">2025-11-04T21:48:00Z</dcterms:created>
  <dcterms:modified xsi:type="dcterms:W3CDTF">2025-11-04T21:48:00Z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b65281-30be-477e-ab72-69dd1df6454d_Enabled">
    <vt:lpwstr>true</vt:lpwstr>
  </property>
  <property fmtid="{D5CDD505-2E9C-101B-9397-08002B2CF9AE}" pid="3" name="MSIP_Label_95b65281-30be-477e-ab72-69dd1df6454d_SetDate">
    <vt:lpwstr>2024-03-27T16:52:29Z</vt:lpwstr>
  </property>
  <property fmtid="{D5CDD505-2E9C-101B-9397-08002B2CF9AE}" pid="4" name="MSIP_Label_95b65281-30be-477e-ab72-69dd1df6454d_Method">
    <vt:lpwstr>Standard</vt:lpwstr>
  </property>
  <property fmtid="{D5CDD505-2E9C-101B-9397-08002B2CF9AE}" pid="5" name="MSIP_Label_95b65281-30be-477e-ab72-69dd1df6454d_Name">
    <vt:lpwstr>defa4170-0d19-0005-0004-bc88714345d2</vt:lpwstr>
  </property>
  <property fmtid="{D5CDD505-2E9C-101B-9397-08002B2CF9AE}" pid="6" name="MSIP_Label_95b65281-30be-477e-ab72-69dd1df6454d_SiteId">
    <vt:lpwstr>8c90edff-0a72-43a7-9568-3eb28b3c8f82</vt:lpwstr>
  </property>
  <property fmtid="{D5CDD505-2E9C-101B-9397-08002B2CF9AE}" pid="7" name="MSIP_Label_95b65281-30be-477e-ab72-69dd1df6454d_ActionId">
    <vt:lpwstr>33bfbc36-cbfa-4261-9a90-81cde0bebd4c</vt:lpwstr>
  </property>
  <property fmtid="{D5CDD505-2E9C-101B-9397-08002B2CF9AE}" pid="8" name="MSIP_Label_95b65281-30be-477e-ab72-69dd1df6454d_ContentBits">
    <vt:lpwstr>0</vt:lpwstr>
  </property>
</Properties>
</file>